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357E73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French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357E73" w:rsidRDefault="00357E73" w:rsidP="001B14BA">
      <w:pPr>
        <w:rPr>
          <w:b/>
          <w:sz w:val="32"/>
          <w:u w:val="single"/>
        </w:rPr>
      </w:pPr>
    </w:p>
    <w:p w:rsidR="00357E73" w:rsidRPr="00B027CE" w:rsidRDefault="00357E73" w:rsidP="00357E73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lastRenderedPageBreak/>
        <w:t xml:space="preserve">Year </w:t>
      </w:r>
      <w:r>
        <w:rPr>
          <w:b/>
          <w:sz w:val="32"/>
          <w:u w:val="single"/>
        </w:rPr>
        <w:t>8</w:t>
      </w:r>
      <w:r w:rsidRPr="00B027CE">
        <w:rPr>
          <w:b/>
          <w:sz w:val="32"/>
          <w:u w:val="single"/>
        </w:rPr>
        <w:t>:</w:t>
      </w:r>
    </w:p>
    <w:p w:rsidR="00357E73" w:rsidRPr="00B027CE" w:rsidRDefault="00357E73" w:rsidP="00357E73">
      <w:pPr>
        <w:rPr>
          <w:sz w:val="28"/>
          <w:u w:val="single"/>
        </w:rPr>
      </w:pPr>
      <w:r>
        <w:rPr>
          <w:sz w:val="28"/>
          <w:u w:val="single"/>
        </w:rPr>
        <w:t xml:space="preserve">Term 1 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357E73" w:rsidTr="002164C2">
        <w:tc>
          <w:tcPr>
            <w:tcW w:w="3225" w:type="dxa"/>
          </w:tcPr>
          <w:p w:rsidR="00357E73" w:rsidRDefault="00357E73" w:rsidP="00357E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 </w:t>
            </w:r>
            <w:r>
              <w:rPr>
                <w:b/>
              </w:rPr>
              <w:t>Sequence</w:t>
            </w:r>
          </w:p>
        </w:tc>
        <w:tc>
          <w:tcPr>
            <w:tcW w:w="10755" w:type="dxa"/>
          </w:tcPr>
          <w:p w:rsidR="00357E73" w:rsidRDefault="00357E73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8" w:history="1">
              <w:r w:rsidRPr="00F95A64">
                <w:rPr>
                  <w:rStyle w:val="Hyperlink"/>
                </w:rPr>
                <w:t>https://classroom.thenational.academy/lessons/asking-how-to-say-and-write-new-words-in-french-part-12-6mwk4r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practise asking how to say and write new words in French. We will also be revising gender and number, articles and saying what there is.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9" w:history="1">
              <w:r w:rsidRPr="00F95A64">
                <w:rPr>
                  <w:rStyle w:val="Hyperlink"/>
                </w:rPr>
                <w:t>https://classroom.thenational.academy/lessons/asking-how-to-say-and-write-new-words-in-french-part-22-65j36d</w:t>
              </w:r>
            </w:hyperlink>
          </w:p>
          <w:p w:rsidR="00357E73" w:rsidRPr="009C110E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practise asking how to say and write new words in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French.We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will also be revising the alphabet, how to say 'it' and 'they' and using the possessive adjectives 'my' and 'your'.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F95A6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https://classroom.thenational.academy/lessons/distinguishing-between-having-and-being-part-12-6wuk4r</w:t>
              </w:r>
            </w:hyperlink>
          </w:p>
          <w:p w:rsidR="00357E73" w:rsidRPr="009C110E" w:rsidRDefault="00357E73" w:rsidP="002164C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look at how to distinguish between the verbs having and being.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11" w:history="1">
              <w:r w:rsidRPr="00F95A64">
                <w:rPr>
                  <w:rStyle w:val="Hyperlink"/>
                </w:rPr>
                <w:t>https://classroom.thenational.academy/lessons/distinguishing-between-having-and-being-part-22-6dk66c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look at how to distinguish between the verbs having and being.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12" w:history="1">
              <w:r w:rsidRPr="00F95A64">
                <w:rPr>
                  <w:rStyle w:val="Hyperlink"/>
                </w:rPr>
                <w:t>https://classroom.thenational.academy/lessons/talking-about-what-you-do-vs-what-people-generally-do-part-12-cmtp8c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look at the use of the pronoun 'on' to talk about what people generally do.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13" w:history="1">
              <w:r w:rsidRPr="00F95A64">
                <w:rPr>
                  <w:rStyle w:val="Hyperlink"/>
                </w:rPr>
                <w:t>https://classroom.thenational.academy/lessons/talking-about-what-you-do-vs-what-people-generally-do-part-22-cmw3at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look at question formation.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14" w:history="1">
              <w:r w:rsidRPr="00F95A64">
                <w:rPr>
                  <w:rStyle w:val="Hyperlink"/>
                </w:rPr>
                <w:t>https://classroom.thenational.academy/lessons/talking-about-what-someone-else-does-vs-what-people-do-in-general-part-12-71k66t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practise using the possessive adjectives ‘son,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sa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ses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'</w:t>
            </w:r>
            <w:proofErr w:type="gram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15" w:history="1">
              <w:r w:rsidRPr="00F95A64">
                <w:rPr>
                  <w:rStyle w:val="Hyperlink"/>
                </w:rPr>
                <w:t>https://classroom.thenational.academy/lessons/talking-about-what-someone-else-does-vs-what-people-do-in-general-part-22-69j6at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practise using the possessive adjective '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notre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'.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16" w:history="1">
              <w:r w:rsidRPr="00F95A64">
                <w:rPr>
                  <w:rStyle w:val="Hyperlink"/>
                </w:rPr>
                <w:t>https://classroom.thenational.academy/lessons/what-i-do-and-dont-do-part-12-c4up4t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say what I do using ER verbs and look at verbs which take the preposition à.</w:t>
            </w:r>
          </w:p>
        </w:tc>
      </w:tr>
      <w:tr w:rsidR="00357E73" w:rsidTr="002164C2">
        <w:tc>
          <w:tcPr>
            <w:tcW w:w="3225" w:type="dxa"/>
          </w:tcPr>
          <w:p w:rsidR="00357E73" w:rsidRDefault="00357E73" w:rsidP="002164C2">
            <w:pPr>
              <w:spacing w:after="0" w:line="240" w:lineRule="auto"/>
            </w:pPr>
            <w:hyperlink r:id="rId17" w:history="1">
              <w:r w:rsidRPr="00F95A64">
                <w:rPr>
                  <w:rStyle w:val="Hyperlink"/>
                </w:rPr>
                <w:t>https://classroom.thenational.academy/lessons/what-i-do-and-dont-do-part-22-64u36c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357E73" w:rsidRDefault="00357E73" w:rsidP="00357E73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say what I do and don't do using ne pas and revise the formation of questions.</w:t>
            </w:r>
          </w:p>
        </w:tc>
      </w:tr>
    </w:tbl>
    <w:p w:rsidR="00357E73" w:rsidRDefault="00357E73" w:rsidP="00357E73">
      <w:pPr>
        <w:rPr>
          <w:sz w:val="28"/>
        </w:rPr>
      </w:pPr>
    </w:p>
    <w:p w:rsidR="00357E73" w:rsidRDefault="00357E73" w:rsidP="00357E73">
      <w:pPr>
        <w:rPr>
          <w:sz w:val="28"/>
        </w:rPr>
      </w:pPr>
    </w:p>
    <w:p w:rsidR="00357E73" w:rsidRDefault="00357E73" w:rsidP="00357E73">
      <w:pPr>
        <w:rPr>
          <w:sz w:val="28"/>
        </w:rPr>
      </w:pPr>
    </w:p>
    <w:p w:rsidR="00357E73" w:rsidRDefault="00357E73" w:rsidP="00357E73">
      <w:pPr>
        <w:rPr>
          <w:sz w:val="28"/>
        </w:rPr>
      </w:pPr>
    </w:p>
    <w:p w:rsidR="00357E73" w:rsidRDefault="00357E73" w:rsidP="00357E73">
      <w:pPr>
        <w:rPr>
          <w:sz w:val="28"/>
          <w:u w:val="single"/>
        </w:rPr>
      </w:pPr>
    </w:p>
    <w:p w:rsidR="00357E73" w:rsidRDefault="00357E73" w:rsidP="00357E73">
      <w:pPr>
        <w:rPr>
          <w:sz w:val="28"/>
          <w:u w:val="single"/>
        </w:rPr>
      </w:pPr>
    </w:p>
    <w:p w:rsidR="00357E73" w:rsidRDefault="00357E73" w:rsidP="00357E73">
      <w:pPr>
        <w:rPr>
          <w:sz w:val="28"/>
          <w:u w:val="single"/>
        </w:rPr>
      </w:pPr>
    </w:p>
    <w:p w:rsidR="00357E73" w:rsidRDefault="00357E73" w:rsidP="00357E73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Term 2 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0995"/>
      </w:tblGrid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Sequence</w:t>
            </w:r>
          </w:p>
        </w:tc>
        <w:tc>
          <w:tcPr>
            <w:tcW w:w="10995" w:type="dxa"/>
          </w:tcPr>
          <w:p w:rsidR="00357E73" w:rsidRDefault="00357E73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18" w:history="1">
              <w:r w:rsidRPr="00F95A64">
                <w:rPr>
                  <w:rStyle w:val="Hyperlink"/>
                </w:rPr>
                <w:t>https://classroom.thenational.academy/lessons/asking-questions-part-12-6nk68d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practise using the verbs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apprendre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comprendre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prendre</w:t>
            </w:r>
            <w:proofErr w:type="spellEnd"/>
            <w:r w:rsidR="00BA3825"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in the 1st, 2nd and 3rd person</w:t>
            </w:r>
            <w:bookmarkStart w:id="0" w:name="_GoBack"/>
            <w:bookmarkEnd w:id="0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singular and asking questions with subject-verb inversion.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19" w:history="1">
              <w:r w:rsidRPr="00F95A64">
                <w:rPr>
                  <w:rStyle w:val="Hyperlink"/>
                </w:rPr>
                <w:t>https://classroom.thenational.academy/lessons/asking-questions-part-22-70r38r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learn how to make questions using subject-verb inversion.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0" w:history="1">
              <w:r w:rsidRPr="00F95A64">
                <w:rPr>
                  <w:rStyle w:val="Hyperlink"/>
                </w:rPr>
                <w:t>https://classroom.thenational.academy/lessons/using-question-words-part-12-6gv3cr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practise using question words with subject-verb inversion.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1" w:history="1">
              <w:r w:rsidRPr="00F95A64">
                <w:rPr>
                  <w:rStyle w:val="Hyperlink"/>
                </w:rPr>
                <w:t>https://classroom.thenational.academy/lessons/using-question-words-part-22-6gtp8r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practise using question words with subject-verb inversion.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2" w:history="1">
              <w:r w:rsidRPr="00F95A64">
                <w:rPr>
                  <w:rStyle w:val="Hyperlink"/>
                </w:rPr>
                <w:t>https://classroom.thenational.academy/lessons/saying-people-do-not-do-something-part-12-61j64d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learn how to say people do not do things, using negative sentence constructions. We will also revisit the SSC 'oi'.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3" w:history="1">
              <w:r w:rsidRPr="00F95A64">
                <w:rPr>
                  <w:rStyle w:val="Hyperlink"/>
                </w:rPr>
                <w:t>https://classroom.thenational.academy/lessons/saying-people-do-not-do-something-part-22-cngked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learn how to say people do not do something, building on previously learnt negative sentence structures.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4" w:history="1">
              <w:r w:rsidRPr="00F95A64">
                <w:rPr>
                  <w:rStyle w:val="Hyperlink"/>
                </w:rPr>
                <w:t>https://classroom.thenational.academy/lessons/saying-people-do-not-do-something-part-12-6mvp2r</w:t>
              </w:r>
            </w:hyperlink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practise using the verb 'savoir' in the 1st, 2nd, &amp; 3rd persons singular, and using 'ne' and 'pas' to form a negative sentence with a verb + infinitive construction.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5" w:history="1">
              <w:r w:rsidRPr="00F95A64">
                <w:rPr>
                  <w:rStyle w:val="Hyperlink"/>
                </w:rPr>
                <w:t>https://classroom.thenational.academy/lessons/saying-people-do-not-do-something-part-22-69jk6d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practise using ne and pas to form negative sentences with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avoir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, to say what you don't have.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6" w:history="1">
              <w:r w:rsidRPr="00F95A64">
                <w:rPr>
                  <w:rStyle w:val="Hyperlink"/>
                </w:rPr>
                <w:t>https://classroom.thenational.academy/lessons/describing-things-and-people-part-12-ccvk8r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will learn about common irregular adjectives and pre-nominal adjective position.</w:t>
            </w:r>
          </w:p>
        </w:tc>
      </w:tr>
      <w:tr w:rsidR="00357E73" w:rsidTr="002164C2">
        <w:tc>
          <w:tcPr>
            <w:tcW w:w="3045" w:type="dxa"/>
          </w:tcPr>
          <w:p w:rsidR="00357E73" w:rsidRDefault="00357E73" w:rsidP="002164C2">
            <w:pPr>
              <w:spacing w:after="0" w:line="240" w:lineRule="auto"/>
            </w:pPr>
            <w:hyperlink r:id="rId27" w:history="1">
              <w:r w:rsidRPr="00F95A64">
                <w:rPr>
                  <w:rStyle w:val="Hyperlink"/>
                </w:rPr>
                <w:t>https://classroom.thenational.academy/lessons/describing-things-and-people-part-22-6mtk8t</w:t>
              </w:r>
            </w:hyperlink>
          </w:p>
          <w:p w:rsidR="00357E73" w:rsidRDefault="00357E73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357E73" w:rsidRDefault="00357E73" w:rsidP="00357E73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practise using common irregular adjectives and the pre-nominal adjective position.</w:t>
            </w:r>
          </w:p>
        </w:tc>
      </w:tr>
    </w:tbl>
    <w:p w:rsidR="00357E73" w:rsidRDefault="00357E73" w:rsidP="00357E73">
      <w:pPr>
        <w:rPr>
          <w:sz w:val="28"/>
          <w:u w:val="single"/>
        </w:rPr>
      </w:pPr>
    </w:p>
    <w:p w:rsidR="00357E73" w:rsidRPr="00B027CE" w:rsidRDefault="00357E73" w:rsidP="001B14BA">
      <w:pPr>
        <w:rPr>
          <w:b/>
          <w:sz w:val="32"/>
          <w:u w:val="single"/>
        </w:rPr>
      </w:pPr>
    </w:p>
    <w:sectPr w:rsidR="00357E73" w:rsidRPr="00B027CE" w:rsidSect="00B027CE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3825">
      <w:pPr>
        <w:spacing w:after="0" w:line="240" w:lineRule="auto"/>
      </w:pPr>
      <w:r>
        <w:separator/>
      </w:r>
    </w:p>
  </w:endnote>
  <w:endnote w:type="continuationSeparator" w:id="0">
    <w:p w:rsidR="00000000" w:rsidRDefault="00BA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3825">
      <w:pPr>
        <w:spacing w:after="0" w:line="240" w:lineRule="auto"/>
      </w:pPr>
      <w:r>
        <w:separator/>
      </w:r>
    </w:p>
  </w:footnote>
  <w:footnote w:type="continuationSeparator" w:id="0">
    <w:p w:rsidR="00000000" w:rsidRDefault="00BA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357E73" w:rsidP="00357E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</w:pPr>
    <w:r>
      <w:rPr>
        <w:rFonts w:ascii="Arial" w:hAnsi="Arial" w:cs="Arial"/>
        <w:b/>
        <w:color w:val="222A35" w:themeColor="text2" w:themeShade="80"/>
        <w:sz w:val="28"/>
      </w:rPr>
      <w:t>Remote Learning Overview – French</w:t>
    </w:r>
    <w:r w:rsidR="001B14BA">
      <w:rPr>
        <w:rFonts w:ascii="Arial" w:hAnsi="Arial" w:cs="Arial"/>
        <w:b/>
        <w:color w:val="222A35" w:themeColor="text2" w:themeShade="80"/>
        <w:sz w:val="28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1B14BA"/>
    <w:rsid w:val="00357E73"/>
    <w:rsid w:val="00BA3825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D45D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sking-how-to-say-and-write-new-words-in-french-part-12-6mwk4r" TargetMode="External"/><Relationship Id="rId13" Type="http://schemas.openxmlformats.org/officeDocument/2006/relationships/hyperlink" Target="https://classroom.thenational.academy/lessons/talking-about-what-you-do-vs-what-people-generally-do-part-22-cmw3at" TargetMode="External"/><Relationship Id="rId18" Type="http://schemas.openxmlformats.org/officeDocument/2006/relationships/hyperlink" Target="https://classroom.thenational.academy/lessons/asking-questions-part-12-6nk68d" TargetMode="External"/><Relationship Id="rId26" Type="http://schemas.openxmlformats.org/officeDocument/2006/relationships/hyperlink" Target="https://classroom.thenational.academy/lessons/describing-things-and-people-part-12-ccvk8r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using-question-words-part-22-6gtp8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alking-about-what-you-do-vs-what-people-generally-do-part-12-cmtp8c" TargetMode="External"/><Relationship Id="rId17" Type="http://schemas.openxmlformats.org/officeDocument/2006/relationships/hyperlink" Target="https://classroom.thenational.academy/lessons/what-i-do-and-dont-do-part-22-64u36c" TargetMode="External"/><Relationship Id="rId25" Type="http://schemas.openxmlformats.org/officeDocument/2006/relationships/hyperlink" Target="https://classroom.thenational.academy/lessons/saying-people-do-not-do-something-part-22-69jk6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what-i-do-and-dont-do-part-12-c4up4t" TargetMode="External"/><Relationship Id="rId20" Type="http://schemas.openxmlformats.org/officeDocument/2006/relationships/hyperlink" Target="https://classroom.thenational.academy/lessons/using-question-words-part-12-6gv3c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distinguishing-between-having-and-being-part-22-6dk66c" TargetMode="External"/><Relationship Id="rId24" Type="http://schemas.openxmlformats.org/officeDocument/2006/relationships/hyperlink" Target="https://classroom.thenational.academy/lessons/saying-people-do-not-do-something-part-12-6mvp2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alking-about-what-someone-else-does-vs-what-people-do-in-general-part-22-69j6at" TargetMode="External"/><Relationship Id="rId23" Type="http://schemas.openxmlformats.org/officeDocument/2006/relationships/hyperlink" Target="https://classroom.thenational.academy/lessons/saying-people-do-not-do-something-part-22-cngked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lassroom.thenational.academy/lessons/distinguishing-between-having-and-being-part-12-6wuk4r" TargetMode="External"/><Relationship Id="rId19" Type="http://schemas.openxmlformats.org/officeDocument/2006/relationships/hyperlink" Target="https://classroom.thenational.academy/lessons/asking-questions-part-22-70r38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asking-how-to-say-and-write-new-words-in-french-part-22-65j36d" TargetMode="External"/><Relationship Id="rId14" Type="http://schemas.openxmlformats.org/officeDocument/2006/relationships/hyperlink" Target="https://classroom.thenational.academy/lessons/talking-about-what-someone-else-does-vs-what-people-do-in-general-part-12-71k66t" TargetMode="External"/><Relationship Id="rId22" Type="http://schemas.openxmlformats.org/officeDocument/2006/relationships/hyperlink" Target="https://classroom.thenational.academy/lessons/saying-people-do-not-do-something-part-12-61j64d" TargetMode="External"/><Relationship Id="rId27" Type="http://schemas.openxmlformats.org/officeDocument/2006/relationships/hyperlink" Target="https://classroom.thenational.academy/lessons/describing-things-and-people-part-22-6mtk8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CC60-EFFF-48E8-9182-260C45ED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3</cp:revision>
  <dcterms:created xsi:type="dcterms:W3CDTF">2020-09-08T06:32:00Z</dcterms:created>
  <dcterms:modified xsi:type="dcterms:W3CDTF">2020-09-21T11:37:00Z</dcterms:modified>
</cp:coreProperties>
</file>